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w:t>
      </w:r>
      <w:r>
        <w:rPr>
          <w:rFonts w:cs="Times New Roman" w:ascii="Arial Black" w:hAnsi="Arial Black"/>
          <w:b/>
          <w:sz w:val="28"/>
          <w:szCs w:val="28"/>
          <w:lang w:val="ru-RU"/>
        </w:rPr>
        <w:t>33</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Первомайская дом 24</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№1</w:t>
      </w:r>
      <w:r>
        <w:rPr>
          <w:rFonts w:cs="Times New Roman" w:ascii="Times New Roman" w:hAnsi="Times New Roman"/>
          <w:sz w:val="18"/>
          <w:szCs w:val="18"/>
        </w:rPr>
        <w:t>33</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ул. </w:t>
      </w:r>
      <w:r>
        <w:rPr>
          <w:b/>
          <w:bCs/>
          <w:sz w:val="18"/>
          <w:szCs w:val="18"/>
        </w:rPr>
        <w:t>Первомайская дом 24</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02" w:type="dxa"/>
        <w:jc w:val="left"/>
        <w:tblInd w:w="58" w:type="dxa"/>
        <w:tblLayout w:type="fixed"/>
        <w:tblCellMar>
          <w:top w:w="28" w:type="dxa"/>
          <w:left w:w="28" w:type="dxa"/>
          <w:bottom w:w="28" w:type="dxa"/>
          <w:right w:w="28" w:type="dxa"/>
        </w:tblCellMar>
      </w:tblPr>
      <w:tblGrid>
        <w:gridCol w:w="735"/>
        <w:gridCol w:w="3886"/>
        <w:gridCol w:w="2338"/>
        <w:gridCol w:w="2342"/>
      </w:tblGrid>
      <w:tr>
        <w:trPr/>
        <w:tc>
          <w:tcPr>
            <w:tcW w:w="73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6"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42"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5" w:type="dxa"/>
            <w:tcBorders>
              <w:left w:val="single" w:sz="2" w:space="0" w:color="000000"/>
              <w:bottom w:val="single" w:sz="2" w:space="0" w:color="000000"/>
            </w:tcBorders>
          </w:tcPr>
          <w:p>
            <w:pPr>
              <w:pStyle w:val="Style19"/>
              <w:widowControl w:val="false"/>
              <w:spacing w:before="0" w:after="200"/>
              <w:rPr/>
            </w:pPr>
            <w:r>
              <w:rPr/>
              <w:t>1</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5,00</w:t>
            </w:r>
          </w:p>
        </w:tc>
      </w:tr>
      <w:tr>
        <w:trPr>
          <w:trHeight w:val="609" w:hRule="atLeast"/>
        </w:trPr>
        <w:tc>
          <w:tcPr>
            <w:tcW w:w="735" w:type="dxa"/>
            <w:tcBorders>
              <w:left w:val="single" w:sz="2" w:space="0" w:color="000000"/>
              <w:bottom w:val="single" w:sz="2" w:space="0" w:color="000000"/>
            </w:tcBorders>
          </w:tcPr>
          <w:p>
            <w:pPr>
              <w:pStyle w:val="Style19"/>
              <w:widowControl w:val="false"/>
              <w:spacing w:before="0" w:after="200"/>
              <w:rPr/>
            </w:pPr>
            <w:r>
              <w:rPr/>
              <w:t>2</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По заявкам</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35" w:type="dxa"/>
            <w:tcBorders>
              <w:left w:val="single" w:sz="2" w:space="0" w:color="000000"/>
              <w:bottom w:val="single" w:sz="2" w:space="0" w:color="000000"/>
            </w:tcBorders>
          </w:tcPr>
          <w:p>
            <w:pPr>
              <w:pStyle w:val="Style19"/>
              <w:widowControl w:val="false"/>
              <w:spacing w:before="0" w:after="200"/>
              <w:rPr/>
            </w:pPr>
            <w:r>
              <w:rPr/>
              <w:t>3</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системы </w:t>
            </w:r>
            <w:r>
              <w:rPr>
                <w:sz w:val="16"/>
                <w:szCs w:val="16"/>
              </w:rPr>
              <w:t>водоснабжения и водоотведения</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35" w:type="dxa"/>
            <w:tcBorders>
              <w:left w:val="single" w:sz="2" w:space="0" w:color="000000"/>
              <w:bottom w:val="single" w:sz="2" w:space="0" w:color="000000"/>
            </w:tcBorders>
          </w:tcPr>
          <w:p>
            <w:pPr>
              <w:pStyle w:val="Style19"/>
              <w:widowControl w:val="false"/>
              <w:spacing w:before="0" w:after="200"/>
              <w:rPr/>
            </w:pPr>
            <w:r>
              <w:rPr/>
              <w:t>4</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35"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42" w:type="dxa"/>
            <w:vMerge w:val="restart"/>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35" w:type="dxa"/>
            <w:vMerge w:val="continue"/>
            <w:tcBorders>
              <w:left w:val="single" w:sz="2" w:space="0" w:color="000000"/>
              <w:bottom w:val="single" w:sz="2" w:space="0" w:color="000000"/>
            </w:tcBorders>
          </w:tcPr>
          <w:p>
            <w:pPr>
              <w:pStyle w:val="Style19"/>
              <w:widowControl w:val="false"/>
              <w:spacing w:before="0" w:after="200"/>
              <w:rPr/>
            </w:pPr>
            <w:r>
              <w:rPr/>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42"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35" w:type="dxa"/>
            <w:vMerge w:val="continue"/>
            <w:tcBorders>
              <w:left w:val="single" w:sz="2" w:space="0" w:color="000000"/>
              <w:bottom w:val="single" w:sz="2" w:space="0" w:color="000000"/>
            </w:tcBorders>
          </w:tcPr>
          <w:p>
            <w:pPr>
              <w:pStyle w:val="Style19"/>
              <w:widowControl w:val="false"/>
              <w:spacing w:before="0" w:after="200"/>
              <w:rPr/>
            </w:pPr>
            <w:r>
              <w:rPr/>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Дезинфекция</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 заявкам</w:t>
            </w:r>
          </w:p>
        </w:tc>
        <w:tc>
          <w:tcPr>
            <w:tcW w:w="2342"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35" w:type="dxa"/>
            <w:tcBorders>
              <w:left w:val="single" w:sz="2" w:space="0" w:color="000000"/>
              <w:bottom w:val="single" w:sz="2" w:space="0" w:color="000000"/>
            </w:tcBorders>
          </w:tcPr>
          <w:p>
            <w:pPr>
              <w:pStyle w:val="Style19"/>
              <w:widowControl w:val="false"/>
              <w:spacing w:before="0" w:after="200"/>
              <w:rPr/>
            </w:pPr>
            <w:r>
              <w:rPr/>
              <w:t>6</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35" w:type="dxa"/>
            <w:tcBorders>
              <w:left w:val="single" w:sz="2" w:space="0" w:color="000000"/>
              <w:bottom w:val="single" w:sz="2" w:space="0" w:color="000000"/>
            </w:tcBorders>
          </w:tcPr>
          <w:p>
            <w:pPr>
              <w:pStyle w:val="Style19"/>
              <w:widowControl w:val="false"/>
              <w:spacing w:before="0" w:after="200"/>
              <w:rPr/>
            </w:pPr>
            <w:r>
              <w:rPr/>
              <w:t>7</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5" w:type="dxa"/>
            <w:tcBorders>
              <w:left w:val="single" w:sz="2" w:space="0" w:color="000000"/>
              <w:bottom w:val="single" w:sz="2" w:space="0" w:color="000000"/>
            </w:tcBorders>
          </w:tcPr>
          <w:p>
            <w:pPr>
              <w:pStyle w:val="Style19"/>
              <w:widowControl w:val="false"/>
              <w:spacing w:before="0" w:after="200"/>
              <w:rPr/>
            </w:pPr>
            <w:r>
              <w:rPr/>
              <w:t>8</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6959"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Application>LibreOffice/7.3.3.2$Windows_X86_64 LibreOffice_project/d1d0ea68f081ee2800a922cac8f79445e4603348</Application>
  <AppVersion>15.0000</AppVersion>
  <Pages>14</Pages>
  <Words>4664</Words>
  <Characters>34576</Characters>
  <CharactersWithSpaces>39206</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2024-06-06T09:26:41Z</cp:lastPrinted>
  <dcterms:modified xsi:type="dcterms:W3CDTF">2024-06-06T09:26:51Z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