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1</w:t>
      </w:r>
      <w:r>
        <w:rPr>
          <w:rFonts w:cs="Times New Roman" w:ascii="Arial Black" w:hAnsi="Arial Black"/>
          <w:b/>
          <w:sz w:val="28"/>
          <w:szCs w:val="28"/>
          <w:lang w:val="ru-RU"/>
        </w:rPr>
        <w:t>30</w:t>
      </w:r>
    </w:p>
    <w:p>
      <w:pPr>
        <w:pStyle w:val="Normal"/>
        <w:rPr>
          <w:rFonts w:ascii="Times New Roman" w:hAnsi="Times New Roman" w:cs="Times New Roman"/>
          <w:sz w:val="24"/>
          <w:szCs w:val="24"/>
        </w:rPr>
      </w:pPr>
      <w:r>
        <w:rPr>
          <w:rFonts w:cs="Times New Roman" w:ascii="Times New Roman" w:hAnsi="Times New Roman"/>
          <w:sz w:val="24"/>
          <w:szCs w:val="24"/>
        </w:rPr>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ru-RU"/>
        </w:rPr>
        <w:t xml:space="preserve">28 мая 2024г.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«Планета жизни»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город Ульяновск</w:t>
      </w:r>
      <w:r>
        <w:rPr>
          <w:rFonts w:cs="Times New Roman" w:ascii="Times New Roman" w:hAnsi="Times New Roman"/>
          <w:sz w:val="24"/>
          <w:szCs w:val="24"/>
        </w:rPr>
        <w:t xml:space="preserve"> </w:t>
      </w:r>
      <w:r>
        <w:rPr>
          <w:rFonts w:cs="Times New Roman" w:ascii="Times New Roman" w:hAnsi="Times New Roman"/>
          <w:b/>
          <w:bCs/>
          <w:sz w:val="24"/>
          <w:szCs w:val="24"/>
        </w:rPr>
        <w:t xml:space="preserve">ул. </w:t>
      </w:r>
      <w:r>
        <w:rPr>
          <w:rFonts w:cs="Times New Roman" w:ascii="Times New Roman" w:hAnsi="Times New Roman"/>
          <w:b/>
          <w:bCs/>
          <w:sz w:val="24"/>
          <w:szCs w:val="24"/>
        </w:rPr>
        <w:t>Луговая дом 2</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с  29 мая 2024г.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7321013981  КПП 732101001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1217300003150</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40702810269000002726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№1</w:t>
      </w:r>
      <w:r>
        <w:rPr>
          <w:rFonts w:cs="Times New Roman" w:ascii="Times New Roman" w:hAnsi="Times New Roman"/>
          <w:sz w:val="18"/>
          <w:szCs w:val="18"/>
        </w:rPr>
        <w:t>30</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от 28.05.2024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общегог имущества МКД </w:t>
      </w:r>
    </w:p>
    <w:p>
      <w:pPr>
        <w:pStyle w:val="Normal"/>
        <w:spacing w:before="0" w:after="0"/>
        <w:jc w:val="center"/>
        <w:rPr>
          <w:sz w:val="18"/>
          <w:szCs w:val="18"/>
        </w:rPr>
      </w:pPr>
      <w:r>
        <w:rPr>
          <w:b/>
          <w:bCs/>
          <w:sz w:val="18"/>
          <w:szCs w:val="18"/>
        </w:rPr>
        <w:t xml:space="preserve">по адресу: г. Ульяновск ул. </w:t>
      </w:r>
      <w:r>
        <w:rPr>
          <w:b/>
          <w:bCs/>
          <w:sz w:val="18"/>
          <w:szCs w:val="18"/>
        </w:rPr>
        <w:t>Луговая дом 2</w:t>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tbl>
      <w:tblPr>
        <w:tblW w:w="9302" w:type="dxa"/>
        <w:jc w:val="left"/>
        <w:tblInd w:w="58" w:type="dxa"/>
        <w:tblLayout w:type="fixed"/>
        <w:tblCellMar>
          <w:top w:w="28" w:type="dxa"/>
          <w:left w:w="28" w:type="dxa"/>
          <w:bottom w:w="28" w:type="dxa"/>
          <w:right w:w="28" w:type="dxa"/>
        </w:tblCellMar>
      </w:tblPr>
      <w:tblGrid>
        <w:gridCol w:w="735"/>
        <w:gridCol w:w="3886"/>
        <w:gridCol w:w="2338"/>
        <w:gridCol w:w="2342"/>
      </w:tblGrid>
      <w:tr>
        <w:trPr/>
        <w:tc>
          <w:tcPr>
            <w:tcW w:w="735"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6"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3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42"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35" w:type="dxa"/>
            <w:tcBorders>
              <w:left w:val="single" w:sz="2" w:space="0" w:color="000000"/>
              <w:bottom w:val="single" w:sz="2" w:space="0" w:color="000000"/>
            </w:tcBorders>
          </w:tcPr>
          <w:p>
            <w:pPr>
              <w:pStyle w:val="Style19"/>
              <w:widowControl w:val="false"/>
              <w:spacing w:before="0" w:after="200"/>
              <w:rPr/>
            </w:pPr>
            <w:r>
              <w:rPr/>
              <w:t>1</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5,00</w:t>
            </w:r>
          </w:p>
        </w:tc>
      </w:tr>
      <w:tr>
        <w:trPr>
          <w:trHeight w:val="609" w:hRule="atLeast"/>
        </w:trPr>
        <w:tc>
          <w:tcPr>
            <w:tcW w:w="735" w:type="dxa"/>
            <w:tcBorders>
              <w:left w:val="single" w:sz="2" w:space="0" w:color="000000"/>
              <w:bottom w:val="single" w:sz="2" w:space="0" w:color="000000"/>
            </w:tcBorders>
          </w:tcPr>
          <w:p>
            <w:pPr>
              <w:pStyle w:val="Style19"/>
              <w:widowControl w:val="false"/>
              <w:spacing w:before="0" w:after="200"/>
              <w:rPr/>
            </w:pPr>
            <w:r>
              <w:rPr/>
              <w:t>2</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вентиляции и дымовентиляции</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По заявкам</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0,50</w:t>
            </w:r>
          </w:p>
        </w:tc>
      </w:tr>
      <w:tr>
        <w:trPr/>
        <w:tc>
          <w:tcPr>
            <w:tcW w:w="735" w:type="dxa"/>
            <w:tcBorders>
              <w:left w:val="single" w:sz="2" w:space="0" w:color="000000"/>
              <w:bottom w:val="single" w:sz="2" w:space="0" w:color="000000"/>
            </w:tcBorders>
          </w:tcPr>
          <w:p>
            <w:pPr>
              <w:pStyle w:val="Style19"/>
              <w:widowControl w:val="false"/>
              <w:spacing w:before="0" w:after="200"/>
              <w:rPr/>
            </w:pPr>
            <w:r>
              <w:rPr/>
              <w:t>3</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системы </w:t>
            </w:r>
            <w:r>
              <w:rPr>
                <w:sz w:val="16"/>
                <w:szCs w:val="16"/>
              </w:rPr>
              <w:t>водоснабжения и водоотведения</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35" w:type="dxa"/>
            <w:tcBorders>
              <w:left w:val="single" w:sz="2" w:space="0" w:color="000000"/>
              <w:bottom w:val="single" w:sz="2" w:space="0" w:color="000000"/>
            </w:tcBorders>
          </w:tcPr>
          <w:p>
            <w:pPr>
              <w:pStyle w:val="Style19"/>
              <w:widowControl w:val="false"/>
              <w:spacing w:before="0" w:after="200"/>
              <w:rPr/>
            </w:pPr>
            <w:r>
              <w:rPr/>
              <w:t>4</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и диагностика системы газоснабжения (ВДГО)</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w:t>
            </w:r>
          </w:p>
        </w:tc>
      </w:tr>
      <w:tr>
        <w:trPr/>
        <w:tc>
          <w:tcPr>
            <w:tcW w:w="735" w:type="dxa"/>
            <w:vMerge w:val="restart"/>
            <w:tcBorders>
              <w:left w:val="single" w:sz="2" w:space="0" w:color="000000"/>
              <w:bottom w:val="single" w:sz="2" w:space="0" w:color="000000"/>
            </w:tcBorders>
          </w:tcPr>
          <w:p>
            <w:pPr>
              <w:pStyle w:val="Style19"/>
              <w:widowControl w:val="false"/>
              <w:spacing w:before="0" w:after="200"/>
              <w:rPr/>
            </w:pPr>
            <w:r>
              <w:rPr/>
              <w:t>5</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Уборка территории земельного участка. </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1 раз в неделю</w:t>
            </w:r>
          </w:p>
        </w:tc>
        <w:tc>
          <w:tcPr>
            <w:tcW w:w="2342" w:type="dxa"/>
            <w:vMerge w:val="restart"/>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35" w:type="dxa"/>
            <w:vMerge w:val="continue"/>
            <w:tcBorders>
              <w:left w:val="single" w:sz="2" w:space="0" w:color="000000"/>
              <w:bottom w:val="single" w:sz="2" w:space="0" w:color="000000"/>
            </w:tcBorders>
          </w:tcPr>
          <w:p>
            <w:pPr>
              <w:pStyle w:val="Style19"/>
              <w:widowControl w:val="false"/>
              <w:spacing w:before="0" w:after="200"/>
              <w:rPr/>
            </w:pPr>
            <w:r>
              <w:rPr/>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Механизированная уборка территории земельного участка</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При необходимости</w:t>
            </w:r>
          </w:p>
        </w:tc>
        <w:tc>
          <w:tcPr>
            <w:tcW w:w="2342" w:type="dxa"/>
            <w:vMerge w:val="continue"/>
            <w:tcBorders>
              <w:left w:val="single" w:sz="2" w:space="0" w:color="000000"/>
              <w:bottom w:val="single" w:sz="2" w:space="0" w:color="000000"/>
              <w:right w:val="single" w:sz="2" w:space="0" w:color="000000"/>
            </w:tcBorders>
          </w:tcPr>
          <w:p>
            <w:pPr>
              <w:pStyle w:val="Style19"/>
              <w:widowControl w:val="false"/>
              <w:spacing w:before="0" w:after="200"/>
              <w:jc w:val="center"/>
              <w:rPr/>
            </w:pPr>
            <w:r>
              <w:rPr/>
            </w:r>
          </w:p>
        </w:tc>
      </w:tr>
      <w:tr>
        <w:trPr/>
        <w:tc>
          <w:tcPr>
            <w:tcW w:w="735" w:type="dxa"/>
            <w:vMerge w:val="continue"/>
            <w:tcBorders>
              <w:left w:val="single" w:sz="2" w:space="0" w:color="000000"/>
              <w:bottom w:val="single" w:sz="2" w:space="0" w:color="000000"/>
            </w:tcBorders>
          </w:tcPr>
          <w:p>
            <w:pPr>
              <w:pStyle w:val="Style19"/>
              <w:widowControl w:val="false"/>
              <w:spacing w:before="0" w:after="200"/>
              <w:rPr/>
            </w:pPr>
            <w:r>
              <w:rPr/>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Дезинфекция</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 заявкам</w:t>
            </w:r>
          </w:p>
        </w:tc>
        <w:tc>
          <w:tcPr>
            <w:tcW w:w="2342" w:type="dxa"/>
            <w:vMerge w:val="continue"/>
            <w:tcBorders>
              <w:left w:val="single" w:sz="2" w:space="0" w:color="000000"/>
              <w:bottom w:val="single" w:sz="2" w:space="0" w:color="000000"/>
              <w:right w:val="single" w:sz="2" w:space="0" w:color="000000"/>
            </w:tcBorders>
          </w:tcPr>
          <w:p>
            <w:pPr>
              <w:pStyle w:val="Style19"/>
              <w:widowControl w:val="false"/>
              <w:spacing w:before="0" w:after="200"/>
              <w:jc w:val="center"/>
              <w:rPr/>
            </w:pPr>
            <w:r>
              <w:rPr/>
            </w:r>
          </w:p>
        </w:tc>
      </w:tr>
      <w:tr>
        <w:trPr/>
        <w:tc>
          <w:tcPr>
            <w:tcW w:w="735" w:type="dxa"/>
            <w:tcBorders>
              <w:left w:val="single" w:sz="2" w:space="0" w:color="000000"/>
              <w:bottom w:val="single" w:sz="2" w:space="0" w:color="000000"/>
            </w:tcBorders>
          </w:tcPr>
          <w:p>
            <w:pPr>
              <w:pStyle w:val="Style19"/>
              <w:widowControl w:val="false"/>
              <w:spacing w:before="0" w:after="200"/>
              <w:rPr/>
            </w:pPr>
            <w:r>
              <w:rPr/>
              <w:t>6</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2,50</w:t>
            </w:r>
          </w:p>
        </w:tc>
      </w:tr>
      <w:tr>
        <w:trPr/>
        <w:tc>
          <w:tcPr>
            <w:tcW w:w="735" w:type="dxa"/>
            <w:tcBorders>
              <w:left w:val="single" w:sz="2" w:space="0" w:color="000000"/>
              <w:bottom w:val="single" w:sz="2" w:space="0" w:color="000000"/>
            </w:tcBorders>
          </w:tcPr>
          <w:p>
            <w:pPr>
              <w:pStyle w:val="Style19"/>
              <w:widowControl w:val="false"/>
              <w:spacing w:before="0" w:after="200"/>
              <w:rPr/>
            </w:pPr>
            <w:r>
              <w:rPr/>
              <w:t>7</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c>
          <w:tcPr>
            <w:tcW w:w="735" w:type="dxa"/>
            <w:tcBorders>
              <w:left w:val="single" w:sz="2" w:space="0" w:color="000000"/>
              <w:bottom w:val="single" w:sz="2" w:space="0" w:color="000000"/>
            </w:tcBorders>
          </w:tcPr>
          <w:p>
            <w:pPr>
              <w:pStyle w:val="Style19"/>
              <w:widowControl w:val="false"/>
              <w:spacing w:before="0" w:after="200"/>
              <w:rPr/>
            </w:pPr>
            <w:r>
              <w:rPr/>
              <w:t>8</w:t>
            </w:r>
          </w:p>
        </w:tc>
        <w:tc>
          <w:tcPr>
            <w:tcW w:w="3886"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электроснабжения</w:t>
            </w:r>
          </w:p>
        </w:tc>
        <w:tc>
          <w:tcPr>
            <w:tcW w:w="2338"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0,50</w:t>
            </w:r>
          </w:p>
        </w:tc>
      </w:tr>
      <w:tr>
        <w:trPr/>
        <w:tc>
          <w:tcPr>
            <w:tcW w:w="6959"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42"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от 28.05.2024г.</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Распоряжение исполняющего обязанности начальника управления жилищно-коммунального хозяйства администрации города Ульяновска Андреева А.С. №142 от 28.05.2024г.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Application>LibreOffice/7.3.3.2$Windows_X86_64 LibreOffice_project/d1d0ea68f081ee2800a922cac8f79445e4603348</Application>
  <AppVersion>15.0000</AppVersion>
  <Pages>14</Pages>
  <Words>4664</Words>
  <Characters>34564</Characters>
  <CharactersWithSpaces>39194</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2024-06-06T09:23:24Z</cp:lastPrinted>
  <dcterms:modified xsi:type="dcterms:W3CDTF">2024-06-06T09:23:31Z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