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6A78162F" w:rsid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val="x-none"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домом</w:t>
      </w:r>
      <w:bookmarkEnd w:id="0"/>
      <w:bookmarkEnd w:id="1"/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6CA165DD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15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>
        <w:rPr>
          <w:rFonts w:ascii="PT Astra Serif" w:hAnsi="PT Astra Serif"/>
          <w:kern w:val="2"/>
          <w:sz w:val="23"/>
          <w:szCs w:val="23"/>
          <w:lang w:eastAsia="x-none"/>
        </w:rPr>
        <w:t>августа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Pr="007826B4">
        <w:rPr>
          <w:rFonts w:ascii="PT Astra Serif" w:hAnsi="PT Astra Serif"/>
          <w:kern w:val="2"/>
          <w:sz w:val="23"/>
          <w:szCs w:val="23"/>
          <w:lang w:eastAsia="x-none"/>
        </w:rPr>
        <w:t>3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7826B4" w:rsidRDefault="007826B4" w:rsidP="007826B4">
      <w:pPr>
        <w:rPr>
          <w:rFonts w:ascii="PT Astra Serif" w:hAnsi="PT Astra Serif"/>
          <w:sz w:val="23"/>
          <w:szCs w:val="23"/>
          <w:lang w:eastAsia="x-none"/>
        </w:rPr>
      </w:pPr>
    </w:p>
    <w:p w14:paraId="16FA437E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, отраженных в _______________________________________________________________ от «    »                  2023 г. </w:t>
      </w:r>
    </w:p>
    <w:p w14:paraId="1AAF4F7F" w14:textId="7B1DA4DA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г. Ульяновск, пос. </w:t>
      </w:r>
      <w:proofErr w:type="spellStart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Лаишевка</w:t>
      </w:r>
      <w:proofErr w:type="spellEnd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ул. Советская, д. </w:t>
      </w:r>
      <w:r w:rsidR="00AB716E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5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с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«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»                   2023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77777777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«___» ____________ 2023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lastRenderedPageBreak/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«____» ____________ 202</w:t>
      </w:r>
      <w:r w:rsidRPr="00F1000E">
        <w:rPr>
          <w:rFonts w:ascii="PT Astra Serif" w:hAnsi="PT Astra Serif"/>
        </w:rPr>
        <w:t>3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</w:t>
            </w:r>
            <w:r w:rsidRPr="007826B4">
              <w:rPr>
                <w:rFonts w:ascii="PT Astra Serif" w:hAnsi="PT Astra Serif"/>
              </w:rPr>
              <w:lastRenderedPageBreak/>
              <w:t>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3373B88F" w14:textId="1CE94896" w:rsidR="007826B4" w:rsidRDefault="007826B4"/>
    <w:p w14:paraId="3C9276DD" w14:textId="59E6C3FE" w:rsidR="00F1000E" w:rsidRDefault="00F1000E"/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106"/>
        <w:gridCol w:w="1959"/>
        <w:gridCol w:w="1660"/>
        <w:gridCol w:w="1342"/>
      </w:tblGrid>
      <w:tr w:rsidR="00AB716E" w:rsidRPr="00AB716E" w14:paraId="5F71C82B" w14:textId="77777777" w:rsidTr="00AB716E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8769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bookmarkStart w:id="4" w:name="RANGE!A1:E24"/>
            <w:r w:rsidRPr="00AB716E">
              <w:rPr>
                <w:rFonts w:ascii="PT Astra Serif" w:hAnsi="PT Astra Serif" w:cs="Arial CYR"/>
                <w:b/>
                <w:bCs/>
              </w:rPr>
              <w:lastRenderedPageBreak/>
              <w:t>ПЕРЕЧЕНЬ</w:t>
            </w:r>
            <w:bookmarkEnd w:id="4"/>
          </w:p>
        </w:tc>
      </w:tr>
      <w:tr w:rsidR="00AB716E" w:rsidRPr="00AB716E" w14:paraId="7BCA134A" w14:textId="77777777" w:rsidTr="00AB716E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911BC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>обязательных работ и услуг по содержанию и ремонту общего имущества</w:t>
            </w:r>
          </w:p>
        </w:tc>
      </w:tr>
      <w:tr w:rsidR="00AB716E" w:rsidRPr="00AB716E" w14:paraId="128EBEE7" w14:textId="77777777" w:rsidTr="00AB716E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EE5A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>в многоквартирном доме, являющимся объектом конкурса, по адресу:</w:t>
            </w:r>
          </w:p>
        </w:tc>
      </w:tr>
      <w:tr w:rsidR="00AB716E" w:rsidRPr="00AB716E" w14:paraId="361C0157" w14:textId="77777777" w:rsidTr="00AB716E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4CFB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 xml:space="preserve">г. Ульяновск, с. </w:t>
            </w:r>
            <w:proofErr w:type="spellStart"/>
            <w:r w:rsidRPr="00AB716E">
              <w:rPr>
                <w:rFonts w:ascii="PT Astra Serif" w:hAnsi="PT Astra Serif" w:cs="Arial CYR"/>
                <w:b/>
                <w:bCs/>
              </w:rPr>
              <w:t>Лаишевка</w:t>
            </w:r>
            <w:proofErr w:type="spellEnd"/>
            <w:r w:rsidRPr="00AB716E">
              <w:rPr>
                <w:rFonts w:ascii="PT Astra Serif" w:hAnsi="PT Astra Serif" w:cs="Arial CYR"/>
                <w:b/>
                <w:bCs/>
              </w:rPr>
              <w:t>, ул. Советская, д. 5</w:t>
            </w:r>
          </w:p>
        </w:tc>
      </w:tr>
      <w:tr w:rsidR="00AB716E" w:rsidRPr="00AB716E" w14:paraId="3766B588" w14:textId="77777777" w:rsidTr="00AB716E">
        <w:trPr>
          <w:trHeight w:val="315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3D5F" w14:textId="77777777" w:rsidR="00AB716E" w:rsidRPr="00AB716E" w:rsidRDefault="00AB716E" w:rsidP="00AB716E">
            <w:pPr>
              <w:jc w:val="right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Общая площадь жилых помещений МКД: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4C64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AB716E">
              <w:rPr>
                <w:rFonts w:ascii="PT Astra Serif" w:hAnsi="PT Astra Serif" w:cs="Arial CYR"/>
                <w:color w:val="000000"/>
              </w:rPr>
              <w:t>790,27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5AF1" w14:textId="77777777" w:rsidR="00AB716E" w:rsidRPr="00AB716E" w:rsidRDefault="00AB716E" w:rsidP="00AB716E">
            <w:pPr>
              <w:rPr>
                <w:rFonts w:ascii="PT Astra Serif" w:hAnsi="PT Astra Serif" w:cs="Arial CYR"/>
                <w:color w:val="000000"/>
              </w:rPr>
            </w:pPr>
            <w:r w:rsidRPr="00AB716E">
              <w:rPr>
                <w:rFonts w:ascii="PT Astra Serif" w:hAnsi="PT Astra Serif" w:cs="Arial CYR"/>
                <w:color w:val="000000"/>
              </w:rPr>
              <w:t>кв. м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9562" w14:textId="77777777" w:rsidR="00AB716E" w:rsidRPr="00AB716E" w:rsidRDefault="00AB716E" w:rsidP="00AB716E">
            <w:pPr>
              <w:rPr>
                <w:rFonts w:ascii="PT Astra Serif" w:hAnsi="PT Astra Serif" w:cs="Arial CYR"/>
                <w:color w:val="000000"/>
              </w:rPr>
            </w:pPr>
          </w:p>
        </w:tc>
      </w:tr>
      <w:tr w:rsidR="00AB716E" w:rsidRPr="00AB716E" w14:paraId="0F087775" w14:textId="77777777" w:rsidTr="00AB716E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EFA7" w14:textId="77777777" w:rsidR="00AB716E" w:rsidRPr="00AB716E" w:rsidRDefault="00AB716E" w:rsidP="00AB716E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E449" w14:textId="77777777" w:rsidR="00AB716E" w:rsidRPr="00AB716E" w:rsidRDefault="00AB716E" w:rsidP="00AB71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9FDC" w14:textId="77777777" w:rsidR="00AB716E" w:rsidRPr="00AB716E" w:rsidRDefault="00AB716E" w:rsidP="00AB71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7E82" w14:textId="77777777" w:rsidR="00AB716E" w:rsidRPr="00AB716E" w:rsidRDefault="00AB716E" w:rsidP="00A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14EC" w14:textId="77777777" w:rsidR="00AB716E" w:rsidRPr="00AB716E" w:rsidRDefault="00AB716E" w:rsidP="00AB716E">
            <w:pPr>
              <w:rPr>
                <w:sz w:val="20"/>
                <w:szCs w:val="20"/>
              </w:rPr>
            </w:pPr>
          </w:p>
        </w:tc>
      </w:tr>
      <w:tr w:rsidR="00AB716E" w:rsidRPr="00AB716E" w14:paraId="6DF8411A" w14:textId="77777777" w:rsidTr="00AB716E">
        <w:trPr>
          <w:trHeight w:val="15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F30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№ п/п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A4E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Виды работ и услуг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25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Периодичность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16A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Годовая плата, рублей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03D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 xml:space="preserve">Стоимость на 1 </w:t>
            </w:r>
            <w:proofErr w:type="spellStart"/>
            <w:proofErr w:type="gramStart"/>
            <w:r w:rsidRPr="00AB716E">
              <w:rPr>
                <w:rFonts w:ascii="PT Astra Serif" w:hAnsi="PT Astra Serif" w:cs="Arial CYR"/>
              </w:rPr>
              <w:t>кв.м</w:t>
            </w:r>
            <w:proofErr w:type="spellEnd"/>
            <w:proofErr w:type="gramEnd"/>
            <w:r w:rsidRPr="00AB716E">
              <w:rPr>
                <w:rFonts w:ascii="PT Astra Serif" w:hAnsi="PT Astra Serif" w:cs="Arial CYR"/>
              </w:rPr>
              <w:t xml:space="preserve"> общей площади, рублей в месяц</w:t>
            </w:r>
          </w:p>
        </w:tc>
      </w:tr>
      <w:tr w:rsidR="00AB716E" w:rsidRPr="00AB716E" w14:paraId="14BBC501" w14:textId="77777777" w:rsidTr="00AB716E">
        <w:trPr>
          <w:trHeight w:val="15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86B1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512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Содержание несущих и ненесущих конструкций многоквартирного дома, относящихся к общему имуществу. Подготовка к сезонной эксплуатации. Противопожарные мероприятия.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52E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 Ревизия - 2 раза в год.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DB0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16 595,67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059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1,75</w:t>
            </w:r>
          </w:p>
        </w:tc>
      </w:tr>
      <w:tr w:rsidR="00AB716E" w:rsidRPr="00AB716E" w14:paraId="2F20A3FE" w14:textId="77777777" w:rsidTr="00AB716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75B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5907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 xml:space="preserve">Содержание систем вентиляции и </w:t>
            </w:r>
            <w:proofErr w:type="spellStart"/>
            <w:r w:rsidRPr="00AB716E">
              <w:rPr>
                <w:rFonts w:ascii="PT Astra Serif" w:hAnsi="PT Astra Serif" w:cs="Arial CYR"/>
              </w:rPr>
              <w:t>дымовентиляции</w:t>
            </w:r>
            <w:proofErr w:type="spellEnd"/>
            <w:r w:rsidRPr="00AB716E"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4D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E33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4 741,62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E06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0,50</w:t>
            </w:r>
          </w:p>
        </w:tc>
      </w:tr>
      <w:tr w:rsidR="00AB716E" w:rsidRPr="00AB716E" w14:paraId="684FAF6C" w14:textId="77777777" w:rsidTr="00AB716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0BD6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CBF0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Содержание системы холодного водоснабжения.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CB1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F9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18 966,48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594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2,00</w:t>
            </w:r>
          </w:p>
        </w:tc>
      </w:tr>
      <w:tr w:rsidR="00AB716E" w:rsidRPr="00AB716E" w14:paraId="717FBD6F" w14:textId="77777777" w:rsidTr="00AB716E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A836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1A0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Содержание системы водоотведения.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11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0D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18 966,48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8FD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2,00</w:t>
            </w:r>
          </w:p>
        </w:tc>
      </w:tr>
      <w:tr w:rsidR="00AB716E" w:rsidRPr="00AB716E" w14:paraId="23BF67DE" w14:textId="77777777" w:rsidTr="00AB716E">
        <w:trPr>
          <w:trHeight w:val="10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4F1F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4595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 xml:space="preserve">Содержание системы электроснабжения и электрооборудования. Проведение </w:t>
            </w:r>
            <w:proofErr w:type="spellStart"/>
            <w:r w:rsidRPr="00AB716E">
              <w:rPr>
                <w:rFonts w:ascii="PT Astra Serif" w:hAnsi="PT Astra Serif" w:cs="Arial CYR"/>
              </w:rPr>
              <w:t>электроизмерений</w:t>
            </w:r>
            <w:proofErr w:type="spellEnd"/>
            <w:r w:rsidRPr="00AB716E">
              <w:rPr>
                <w:rFonts w:ascii="PT Astra Serif" w:hAnsi="PT Astra Serif" w:cs="Arial CY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F7E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0DD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7 586,59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AD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0,80</w:t>
            </w:r>
          </w:p>
        </w:tc>
      </w:tr>
      <w:tr w:rsidR="00AB716E" w:rsidRPr="00AB716E" w14:paraId="487DD940" w14:textId="77777777" w:rsidTr="00AB716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62C1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34F3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Содержание системы центрального отопления.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F8C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5B6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33 191,34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29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3,50</w:t>
            </w:r>
          </w:p>
        </w:tc>
      </w:tr>
      <w:tr w:rsidR="00AB716E" w:rsidRPr="00AB716E" w14:paraId="4CF9CFE9" w14:textId="77777777" w:rsidTr="00AB716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1BF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F988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Содержание внутридомовой системы газоснабжения (ВДГО).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247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64A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11 854,05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894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1,25</w:t>
            </w:r>
          </w:p>
        </w:tc>
      </w:tr>
      <w:tr w:rsidR="00AB716E" w:rsidRPr="00AB716E" w14:paraId="6326DD0C" w14:textId="77777777" w:rsidTr="00AB716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F5B0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8.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24D2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Проведение работ по дезинфекции, дератизации и дезинсекции.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BDB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 заявкам.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C27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1 896,65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0E14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0,20</w:t>
            </w:r>
          </w:p>
        </w:tc>
      </w:tr>
      <w:tr w:rsidR="00AB716E" w:rsidRPr="00AB716E" w14:paraId="5B6A2C79" w14:textId="77777777" w:rsidTr="00AB716E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EFA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9.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886D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Уборка придомовой территории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E4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 раз в неделю.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0CF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14 224,86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8B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1,50</w:t>
            </w:r>
          </w:p>
        </w:tc>
      </w:tr>
      <w:tr w:rsidR="00AB716E" w:rsidRPr="00AB716E" w14:paraId="32CEC39C" w14:textId="77777777" w:rsidTr="00AB716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08E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10.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814C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Механизированная уборка территории земельного участка.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71F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При необходимости.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0D0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9 483,24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061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1,00</w:t>
            </w:r>
          </w:p>
        </w:tc>
      </w:tr>
      <w:tr w:rsidR="00AB716E" w:rsidRPr="00AB716E" w14:paraId="35E03454" w14:textId="77777777" w:rsidTr="00AB716E">
        <w:trPr>
          <w:trHeight w:val="10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FE41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17F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Обеспечение устранения аварий, выполнения заявок населения (аварийно-диспетчерское обслуживание).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5D5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70C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18 966,48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9D0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2,00</w:t>
            </w:r>
          </w:p>
        </w:tc>
      </w:tr>
      <w:tr w:rsidR="00AB716E" w:rsidRPr="00AB716E" w14:paraId="72240464" w14:textId="77777777" w:rsidTr="00AB716E">
        <w:trPr>
          <w:trHeight w:val="12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466A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12.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50C9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Услуги управления многоквартирным домом. Организация учёта граждан. Организация начисления и сбора платежей.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7A8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Постоянно.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B3A9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42 674,58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F8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4,50</w:t>
            </w:r>
          </w:p>
        </w:tc>
      </w:tr>
      <w:tr w:rsidR="00AB716E" w:rsidRPr="00AB716E" w14:paraId="6131D46B" w14:textId="77777777" w:rsidTr="00AB716E">
        <w:trPr>
          <w:trHeight w:val="315"/>
        </w:trPr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6C2F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>ВСЕГО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AA7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1F2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>199 148,04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C43" w14:textId="77777777" w:rsidR="00AB716E" w:rsidRPr="00AB716E" w:rsidRDefault="00AB716E" w:rsidP="00AB716E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t>21,00</w:t>
            </w:r>
          </w:p>
        </w:tc>
      </w:tr>
      <w:tr w:rsidR="00AB716E" w:rsidRPr="00AB716E" w14:paraId="07E916D9" w14:textId="77777777" w:rsidTr="00AB716E">
        <w:trPr>
          <w:trHeight w:val="315"/>
        </w:trPr>
        <w:tc>
          <w:tcPr>
            <w:tcW w:w="9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01E9" w14:textId="77777777" w:rsidR="00AB716E" w:rsidRPr="00AB716E" w:rsidRDefault="00AB716E" w:rsidP="00AB716E">
            <w:pPr>
              <w:rPr>
                <w:rFonts w:ascii="PT Astra Serif" w:hAnsi="PT Astra Serif" w:cs="Arial CYR"/>
                <w:b/>
                <w:bCs/>
              </w:rPr>
            </w:pPr>
            <w:r w:rsidRPr="00AB716E">
              <w:rPr>
                <w:rFonts w:ascii="PT Astra Serif" w:hAnsi="PT Astra Serif" w:cs="Arial CYR"/>
                <w:b/>
                <w:bCs/>
              </w:rPr>
              <w:lastRenderedPageBreak/>
              <w:t>Примечания.</w:t>
            </w:r>
          </w:p>
        </w:tc>
      </w:tr>
      <w:tr w:rsidR="00AB716E" w:rsidRPr="00AB716E" w14:paraId="660DA6C2" w14:textId="77777777" w:rsidTr="00AB716E">
        <w:trPr>
          <w:trHeight w:val="1039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E3616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 xml:space="preserve">1. Периодичность работ и услуг по содержанию включает мероприятия по осмотрам, обследованиям, контролю. Проведение текущего ремонта общего имущества осуществляется при необходимости </w:t>
            </w:r>
            <w:proofErr w:type="gramStart"/>
            <w:r w:rsidRPr="00AB716E">
              <w:rPr>
                <w:rFonts w:ascii="PT Astra Serif" w:hAnsi="PT Astra Serif" w:cs="Arial CYR"/>
              </w:rPr>
              <w:t>согласно постановления</w:t>
            </w:r>
            <w:proofErr w:type="gramEnd"/>
            <w:r w:rsidRPr="00AB716E">
              <w:rPr>
                <w:rFonts w:ascii="PT Astra Serif" w:hAnsi="PT Astra Serif" w:cs="Arial CYR"/>
              </w:rPr>
              <w:t xml:space="preserve"> Правительства РФ от 03.04.2013 № 290.</w:t>
            </w:r>
          </w:p>
        </w:tc>
      </w:tr>
      <w:tr w:rsidR="00AB716E" w:rsidRPr="00AB716E" w14:paraId="426A1289" w14:textId="77777777" w:rsidTr="00AB716E">
        <w:trPr>
          <w:trHeight w:val="1039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463B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2. Стоимость платы за коммунальные ресурсы, потребляемые при содержании общего имущества в многоквартирном доме, в размеры платы не включена, согласно пункта 3.2 Методических рекомендаций (приказ Минстроя РФ от 06.04.2018 № 213/</w:t>
            </w:r>
            <w:proofErr w:type="spellStart"/>
            <w:r w:rsidRPr="00AB716E">
              <w:rPr>
                <w:rFonts w:ascii="PT Astra Serif" w:hAnsi="PT Astra Serif" w:cs="Arial CYR"/>
              </w:rPr>
              <w:t>пр</w:t>
            </w:r>
            <w:proofErr w:type="spellEnd"/>
            <w:r w:rsidRPr="00AB716E">
              <w:rPr>
                <w:rFonts w:ascii="PT Astra Serif" w:hAnsi="PT Astra Serif" w:cs="Arial CYR"/>
              </w:rPr>
              <w:t>).</w:t>
            </w:r>
          </w:p>
        </w:tc>
      </w:tr>
      <w:tr w:rsidR="00AB716E" w:rsidRPr="00AB716E" w14:paraId="4CB5776C" w14:textId="77777777" w:rsidTr="00AB716E">
        <w:trPr>
          <w:trHeight w:val="100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E815" w14:textId="77777777" w:rsidR="00AB716E" w:rsidRPr="00AB716E" w:rsidRDefault="00AB716E" w:rsidP="00AB716E">
            <w:pPr>
              <w:rPr>
                <w:rFonts w:ascii="PT Astra Serif" w:hAnsi="PT Astra Serif" w:cs="Arial CYR"/>
              </w:rPr>
            </w:pPr>
            <w:r w:rsidRPr="00AB716E">
              <w:rPr>
                <w:rFonts w:ascii="PT Astra Serif" w:hAnsi="PT Astra Serif" w:cs="Arial CYR"/>
              </w:rPr>
              <w:t>3. В случаях неоказания или некачественного предоставления услуг по содержанию жилья, производится перерасчёт платы в соответствии с постановлением Правительства РФ от 13.08.2006 № 491, на основании заявок, с составлением актов.</w:t>
            </w:r>
          </w:p>
        </w:tc>
      </w:tr>
    </w:tbl>
    <w:p w14:paraId="04F9BA99" w14:textId="7B783274" w:rsidR="00F1000E" w:rsidRDefault="00F1000E"/>
    <w:sectPr w:rsidR="00F1000E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FADD" w14:textId="77777777" w:rsidR="00E20A50" w:rsidRDefault="00E20A50" w:rsidP="007826B4">
      <w:r>
        <w:separator/>
      </w:r>
    </w:p>
  </w:endnote>
  <w:endnote w:type="continuationSeparator" w:id="0">
    <w:p w14:paraId="657F24BB" w14:textId="77777777" w:rsidR="00E20A50" w:rsidRDefault="00E20A50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468A" w14:textId="77777777" w:rsidR="00E20A50" w:rsidRDefault="00E20A50" w:rsidP="007826B4">
      <w:r>
        <w:separator/>
      </w:r>
    </w:p>
  </w:footnote>
  <w:footnote w:type="continuationSeparator" w:id="0">
    <w:p w14:paraId="267DB451" w14:textId="77777777" w:rsidR="00E20A50" w:rsidRDefault="00E20A50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1B4E94"/>
    <w:rsid w:val="00257179"/>
    <w:rsid w:val="002C6FEB"/>
    <w:rsid w:val="005544DC"/>
    <w:rsid w:val="005F3D96"/>
    <w:rsid w:val="007826B4"/>
    <w:rsid w:val="007B7232"/>
    <w:rsid w:val="00815C54"/>
    <w:rsid w:val="00AB716E"/>
    <w:rsid w:val="00CF32BC"/>
    <w:rsid w:val="00E20A50"/>
    <w:rsid w:val="00F1000E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2024-02-15T05:28:00Z</dcterms:created>
  <dcterms:modified xsi:type="dcterms:W3CDTF">2024-02-15T06:50:00Z</dcterms:modified>
</cp:coreProperties>
</file>