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6A78162F" w:rsid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val="x-none"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домом</w:t>
      </w:r>
      <w:bookmarkEnd w:id="0"/>
      <w:bookmarkEnd w:id="1"/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6CA165DD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15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августа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Pr="007826B4">
        <w:rPr>
          <w:rFonts w:ascii="PT Astra Serif" w:hAnsi="PT Astra Serif"/>
          <w:kern w:val="2"/>
          <w:sz w:val="23"/>
          <w:szCs w:val="23"/>
          <w:lang w:eastAsia="x-none"/>
        </w:rPr>
        <w:t>3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7826B4" w:rsidRDefault="007826B4" w:rsidP="007826B4">
      <w:pPr>
        <w:rPr>
          <w:rFonts w:ascii="PT Astra Serif" w:hAnsi="PT Astra Serif"/>
          <w:sz w:val="23"/>
          <w:szCs w:val="23"/>
          <w:lang w:eastAsia="x-none"/>
        </w:rPr>
      </w:pPr>
    </w:p>
    <w:p w14:paraId="16FA437E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.</w:t>
      </w:r>
    </w:p>
    <w:p w14:paraId="07B3E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  <w:shd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, отраженных в _______________________________________________________________ от «    »                  2023 г. </w:t>
      </w:r>
    </w:p>
    <w:p w14:paraId="1AAF4F7F" w14:textId="3156495B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  <w:shd w:val="nil"/>
        </w:rPr>
        <w:t xml:space="preserve">г. Ульяновск, пос. </w:t>
      </w:r>
      <w:proofErr w:type="spellStart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  <w:shd w:val="nil"/>
        </w:rPr>
        <w:t>Лаишевка</w:t>
      </w:r>
      <w:proofErr w:type="spellEnd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  <w:shd w:val="nil"/>
        </w:rPr>
        <w:t xml:space="preserve"> ул. Советская, д. 4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  <w:shd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  <w:shd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  <w:shd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7. Порядок заключения, изменения, расторжения и срок действия договора.</w:t>
      </w:r>
    </w:p>
    <w:p w14:paraId="5D20493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 xml:space="preserve">с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«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  <w:shd w:val="nil"/>
        </w:rPr>
        <w:t xml:space="preserve">  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  <w:shd w:val="nil"/>
        </w:rPr>
        <w:t xml:space="preserve">   »                   2023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77777777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«___» ____________ 2023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«____» ____________ 202</w:t>
      </w:r>
      <w:r w:rsidRPr="007826B4">
        <w:rPr>
          <w:rFonts w:ascii="PT Astra Serif" w:hAnsi="PT Astra Serif"/>
          <w:lang w:val="en-US"/>
        </w:rPr>
        <w:t>3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3373B88F" w14:textId="797C22EF" w:rsidR="007826B4" w:rsidRDefault="007826B4"/>
    <w:p w14:paraId="2A5514A0" w14:textId="2417DE1D" w:rsidR="007826B4" w:rsidRDefault="007826B4"/>
    <w:p w14:paraId="42B0B515" w14:textId="77777777" w:rsidR="007826B4" w:rsidRDefault="007826B4"/>
    <w:tbl>
      <w:tblPr>
        <w:tblW w:w="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106"/>
        <w:gridCol w:w="1701"/>
        <w:gridCol w:w="1585"/>
        <w:gridCol w:w="1484"/>
        <w:gridCol w:w="14"/>
      </w:tblGrid>
      <w:tr w:rsidR="00F31A9B" w14:paraId="0AA67377" w14:textId="77777777" w:rsidTr="00F31A9B">
        <w:trPr>
          <w:trHeight w:val="315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8FD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bookmarkStart w:id="4" w:name="RANGE!A1:E24"/>
            <w:r>
              <w:rPr>
                <w:rFonts w:ascii="PT Astra Serif" w:hAnsi="PT Astra Serif" w:cs="Arial CYR"/>
                <w:b/>
                <w:bCs/>
              </w:rPr>
              <w:t>ПЕРЕЧЕНЬ</w:t>
            </w:r>
            <w:bookmarkEnd w:id="4"/>
          </w:p>
        </w:tc>
      </w:tr>
      <w:tr w:rsidR="00F31A9B" w14:paraId="0A5CE08D" w14:textId="77777777" w:rsidTr="00F31A9B">
        <w:trPr>
          <w:trHeight w:val="315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51F5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обязательных работ и услуг по содержанию и ремонту общего имущества</w:t>
            </w:r>
          </w:p>
        </w:tc>
      </w:tr>
      <w:tr w:rsidR="00F31A9B" w14:paraId="4EDC9838" w14:textId="77777777" w:rsidTr="00F31A9B">
        <w:trPr>
          <w:trHeight w:val="315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2BB5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в многоквартирном доме, являющимся объектом конкурса, по адресу:</w:t>
            </w:r>
          </w:p>
        </w:tc>
      </w:tr>
      <w:tr w:rsidR="00F31A9B" w14:paraId="47B882C4" w14:textId="77777777" w:rsidTr="00F31A9B">
        <w:trPr>
          <w:trHeight w:val="315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7189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г. Ульяновск, с. </w:t>
            </w:r>
            <w:proofErr w:type="spellStart"/>
            <w:r>
              <w:rPr>
                <w:rFonts w:ascii="PT Astra Serif" w:hAnsi="PT Astra Serif" w:cs="Arial CYR"/>
                <w:b/>
                <w:bCs/>
              </w:rPr>
              <w:t>Лаишевка</w:t>
            </w:r>
            <w:proofErr w:type="spellEnd"/>
            <w:r>
              <w:rPr>
                <w:rFonts w:ascii="PT Astra Serif" w:hAnsi="PT Astra Serif" w:cs="Arial CYR"/>
                <w:b/>
                <w:bCs/>
              </w:rPr>
              <w:t>, ул. Советская, д. 4</w:t>
            </w:r>
          </w:p>
        </w:tc>
      </w:tr>
      <w:tr w:rsidR="00F31A9B" w14:paraId="11D13943" w14:textId="77777777" w:rsidTr="00F31A9B">
        <w:trPr>
          <w:gridAfter w:val="1"/>
          <w:wAfter w:w="14" w:type="dxa"/>
          <w:trHeight w:val="315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658F" w14:textId="77777777" w:rsidR="00F31A9B" w:rsidRDefault="00F31A9B" w:rsidP="00EA6C0E">
            <w:pPr>
              <w:jc w:val="right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Общая площадь жилых помещений МКД: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D5F2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>
              <w:rPr>
                <w:rFonts w:ascii="PT Astra Serif" w:hAnsi="PT Astra Serif" w:cs="Arial CYR"/>
                <w:color w:val="000000"/>
              </w:rPr>
              <w:t>794,44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8B31" w14:textId="77777777" w:rsidR="00F31A9B" w:rsidRDefault="00F31A9B" w:rsidP="00EA6C0E">
            <w:pPr>
              <w:rPr>
                <w:rFonts w:ascii="PT Astra Serif" w:hAnsi="PT Astra Serif" w:cs="Arial CYR"/>
                <w:color w:val="000000"/>
              </w:rPr>
            </w:pPr>
            <w:r>
              <w:rPr>
                <w:rFonts w:ascii="PT Astra Serif" w:hAnsi="PT Astra Serif" w:cs="Arial CYR"/>
                <w:color w:val="000000"/>
              </w:rPr>
              <w:t>кв. м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E52" w14:textId="77777777" w:rsidR="00F31A9B" w:rsidRDefault="00F31A9B" w:rsidP="00EA6C0E">
            <w:pPr>
              <w:rPr>
                <w:rFonts w:ascii="PT Astra Serif" w:hAnsi="PT Astra Serif" w:cs="Arial CYR"/>
                <w:color w:val="000000"/>
              </w:rPr>
            </w:pPr>
          </w:p>
        </w:tc>
      </w:tr>
      <w:tr w:rsidR="00F31A9B" w14:paraId="2BB8563F" w14:textId="77777777" w:rsidTr="00F31A9B">
        <w:trPr>
          <w:gridAfter w:val="1"/>
          <w:wAfter w:w="14" w:type="dxa"/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7F08" w14:textId="77777777" w:rsidR="00F31A9B" w:rsidRDefault="00F31A9B" w:rsidP="00EA6C0E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1884" w14:textId="77777777" w:rsidR="00F31A9B" w:rsidRDefault="00F31A9B" w:rsidP="00EA6C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6C27" w14:textId="77777777" w:rsidR="00F31A9B" w:rsidRDefault="00F31A9B" w:rsidP="00EA6C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D2BB" w14:textId="77777777" w:rsidR="00F31A9B" w:rsidRDefault="00F31A9B" w:rsidP="00EA6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379" w14:textId="77777777" w:rsidR="00F31A9B" w:rsidRDefault="00F31A9B" w:rsidP="00EA6C0E">
            <w:pPr>
              <w:rPr>
                <w:sz w:val="20"/>
                <w:szCs w:val="20"/>
              </w:rPr>
            </w:pPr>
          </w:p>
        </w:tc>
      </w:tr>
      <w:tr w:rsidR="00F31A9B" w14:paraId="65CF6545" w14:textId="77777777" w:rsidTr="00F31A9B">
        <w:trPr>
          <w:gridAfter w:val="1"/>
          <w:wAfter w:w="14" w:type="dxa"/>
          <w:trHeight w:val="15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7D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204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Виды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2EA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Периодичность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E39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Годовая плата, рублей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18F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Стоимость на 1 </w:t>
            </w:r>
            <w:proofErr w:type="spellStart"/>
            <w:proofErr w:type="gramStart"/>
            <w:r>
              <w:rPr>
                <w:rFonts w:ascii="PT Astra Serif" w:hAnsi="PT Astra Serif" w:cs="Arial CYR"/>
              </w:rPr>
              <w:t>кв.м</w:t>
            </w:r>
            <w:proofErr w:type="spellEnd"/>
            <w:proofErr w:type="gramEnd"/>
            <w:r>
              <w:rPr>
                <w:rFonts w:ascii="PT Astra Serif" w:hAnsi="PT Astra Serif" w:cs="Arial CYR"/>
              </w:rPr>
              <w:t xml:space="preserve"> общей площади, рублей в месяц</w:t>
            </w:r>
          </w:p>
        </w:tc>
      </w:tr>
      <w:tr w:rsidR="00F31A9B" w14:paraId="5CC071D2" w14:textId="77777777" w:rsidTr="00F31A9B">
        <w:trPr>
          <w:gridAfter w:val="1"/>
          <w:wAfter w:w="14" w:type="dxa"/>
          <w:trHeight w:val="15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E9A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416C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несущих и ненесущих конструкций многоквартирного дома, относящихся к общему имуществу. Подготовка к сезонной эксплуатации. Противопожарные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027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 Ревизия - 2 раза в год.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CA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16 683,24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B82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1,75</w:t>
            </w:r>
          </w:p>
        </w:tc>
      </w:tr>
      <w:tr w:rsidR="00F31A9B" w14:paraId="73B94751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7CF3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5330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Содержание систем вентиляции и </w:t>
            </w:r>
            <w:proofErr w:type="spellStart"/>
            <w:r>
              <w:rPr>
                <w:rFonts w:ascii="PT Astra Serif" w:hAnsi="PT Astra Serif" w:cs="Arial CYR"/>
              </w:rPr>
              <w:t>дымовентиляции</w:t>
            </w:r>
            <w:proofErr w:type="spellEnd"/>
            <w:r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B4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FF3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4 766,64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47F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0,50</w:t>
            </w:r>
          </w:p>
        </w:tc>
      </w:tr>
      <w:tr w:rsidR="00F31A9B" w14:paraId="545A99A2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DFF2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0195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системы холодного водоснабжения.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39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EE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19 066,56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319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2,00</w:t>
            </w:r>
          </w:p>
        </w:tc>
      </w:tr>
      <w:tr w:rsidR="00F31A9B" w14:paraId="3BCFF75E" w14:textId="77777777" w:rsidTr="00F31A9B">
        <w:trPr>
          <w:gridAfter w:val="1"/>
          <w:wAfter w:w="14" w:type="dxa"/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B47E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1B0B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системы водоотведения.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399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CD0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19 066,56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54B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2,00</w:t>
            </w:r>
          </w:p>
        </w:tc>
      </w:tr>
      <w:tr w:rsidR="00F31A9B" w14:paraId="420F99AB" w14:textId="77777777" w:rsidTr="00F31A9B">
        <w:trPr>
          <w:gridAfter w:val="1"/>
          <w:wAfter w:w="14" w:type="dxa"/>
          <w:trHeight w:val="9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436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A4E6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Содержание системы электроснабжения и электрооборудования. Проведение </w:t>
            </w:r>
            <w:proofErr w:type="spellStart"/>
            <w:r>
              <w:rPr>
                <w:rFonts w:ascii="PT Astra Serif" w:hAnsi="PT Astra Serif" w:cs="Arial CYR"/>
              </w:rPr>
              <w:t>электроизмерений</w:t>
            </w:r>
            <w:proofErr w:type="spellEnd"/>
            <w:r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7C2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CE7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7 626,62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212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0,80</w:t>
            </w:r>
          </w:p>
        </w:tc>
      </w:tr>
      <w:tr w:rsidR="00F31A9B" w14:paraId="6F16F077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1BFF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EE89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системы центрального отопления.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2FF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9B1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33 366,48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1BE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3,50</w:t>
            </w:r>
          </w:p>
        </w:tc>
      </w:tr>
      <w:tr w:rsidR="00F31A9B" w14:paraId="2F727B7B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92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DA48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Содержание внутридомовой системы газоснабжения (ВДГО).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DD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768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11 916,60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F02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1,25</w:t>
            </w:r>
          </w:p>
        </w:tc>
      </w:tr>
      <w:tr w:rsidR="00F31A9B" w14:paraId="7EE035DE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E9A9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D947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Проведение работ по дезинфекции, дератизации и дезинсекции.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D51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 заявкам.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BB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1 906,66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9D6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0,20</w:t>
            </w:r>
          </w:p>
        </w:tc>
      </w:tr>
      <w:tr w:rsidR="00F31A9B" w14:paraId="0AD41BA0" w14:textId="77777777" w:rsidTr="00F31A9B">
        <w:trPr>
          <w:gridAfter w:val="1"/>
          <w:wAfter w:w="14" w:type="dxa"/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73E7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5CE2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63D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 раз в неделю.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51C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14 299,92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0CC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1,50</w:t>
            </w:r>
          </w:p>
        </w:tc>
      </w:tr>
      <w:tr w:rsidR="00F31A9B" w14:paraId="363ABF6D" w14:textId="77777777" w:rsidTr="00F31A9B">
        <w:trPr>
          <w:gridAfter w:val="1"/>
          <w:wAfter w:w="14" w:type="dxa"/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6E5E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10.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CA31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Механизированная уборка территории земельного участка.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C91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При необходимости.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414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9 533,28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651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1,00</w:t>
            </w:r>
          </w:p>
        </w:tc>
      </w:tr>
      <w:tr w:rsidR="00F31A9B" w14:paraId="103D897C" w14:textId="77777777" w:rsidTr="00F31A9B">
        <w:trPr>
          <w:gridAfter w:val="1"/>
          <w:wAfter w:w="14" w:type="dxa"/>
          <w:trHeight w:val="9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95D0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E8A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3E5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0E9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19 066,56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7BD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2,00</w:t>
            </w:r>
          </w:p>
        </w:tc>
      </w:tr>
      <w:tr w:rsidR="00F31A9B" w14:paraId="77B89404" w14:textId="77777777" w:rsidTr="00F31A9B">
        <w:trPr>
          <w:gridAfter w:val="1"/>
          <w:wAfter w:w="14" w:type="dxa"/>
          <w:trHeight w:val="12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1C36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0602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Услуги управления многоквартирным домом. Организация учёта граждан. Организация начисления и сбора платежей.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BA8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6F7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42 899,76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E6D" w14:textId="77777777" w:rsidR="00F31A9B" w:rsidRDefault="00F31A9B" w:rsidP="00EA6C0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4,50</w:t>
            </w:r>
          </w:p>
        </w:tc>
      </w:tr>
      <w:tr w:rsidR="00F31A9B" w14:paraId="66D8074F" w14:textId="77777777" w:rsidTr="00F31A9B">
        <w:trPr>
          <w:gridAfter w:val="1"/>
          <w:wAfter w:w="14" w:type="dxa"/>
          <w:trHeight w:val="315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5509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694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C6F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200 198,88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870" w14:textId="77777777" w:rsidR="00F31A9B" w:rsidRDefault="00F31A9B" w:rsidP="00EA6C0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21,00</w:t>
            </w:r>
          </w:p>
        </w:tc>
      </w:tr>
      <w:tr w:rsidR="00F31A9B" w14:paraId="15663343" w14:textId="77777777" w:rsidTr="00F31A9B">
        <w:trPr>
          <w:trHeight w:val="315"/>
        </w:trPr>
        <w:tc>
          <w:tcPr>
            <w:tcW w:w="94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4B80" w14:textId="77777777" w:rsidR="00F31A9B" w:rsidRDefault="00F31A9B" w:rsidP="00EA6C0E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Примечания.</w:t>
            </w:r>
          </w:p>
        </w:tc>
      </w:tr>
      <w:tr w:rsidR="00F31A9B" w14:paraId="20FFF07D" w14:textId="77777777" w:rsidTr="00F31A9B">
        <w:trPr>
          <w:trHeight w:val="1039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48F1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</w:t>
            </w:r>
            <w:proofErr w:type="gramStart"/>
            <w:r>
              <w:rPr>
                <w:rFonts w:ascii="PT Astra Serif" w:hAnsi="PT Astra Serif" w:cs="Arial CYR"/>
              </w:rPr>
              <w:t>согласно постановления</w:t>
            </w:r>
            <w:proofErr w:type="gramEnd"/>
            <w:r>
              <w:rPr>
                <w:rFonts w:ascii="PT Astra Serif" w:hAnsi="PT Astra Serif" w:cs="Arial CYR"/>
              </w:rPr>
              <w:t xml:space="preserve"> Правительства РФ от 03.04.2013 № 290.</w:t>
            </w:r>
          </w:p>
        </w:tc>
      </w:tr>
      <w:tr w:rsidR="00F31A9B" w14:paraId="0D8716D6" w14:textId="77777777" w:rsidTr="00F31A9B">
        <w:trPr>
          <w:trHeight w:val="1039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9A1F6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</w:t>
            </w:r>
            <w:proofErr w:type="spellStart"/>
            <w:r>
              <w:rPr>
                <w:rFonts w:ascii="PT Astra Serif" w:hAnsi="PT Astra Serif" w:cs="Arial CYR"/>
              </w:rPr>
              <w:t>пр</w:t>
            </w:r>
            <w:proofErr w:type="spellEnd"/>
            <w:r>
              <w:rPr>
                <w:rFonts w:ascii="PT Astra Serif" w:hAnsi="PT Astra Serif" w:cs="Arial CYR"/>
              </w:rPr>
              <w:t>).</w:t>
            </w:r>
          </w:p>
        </w:tc>
      </w:tr>
      <w:tr w:rsidR="00F31A9B" w14:paraId="67408658" w14:textId="77777777" w:rsidTr="00F31A9B">
        <w:trPr>
          <w:trHeight w:val="975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D9A0" w14:textId="77777777" w:rsidR="00F31A9B" w:rsidRDefault="00F31A9B" w:rsidP="00EA6C0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3. В случаях неоказания или некачественного предоставления услуг по содержанию жилья, производится перерасчёт платы в соответствии с постановлением Правительства РФ от 13.08.2006 № 491, на основании заявок, с составлением актов.</w:t>
            </w:r>
          </w:p>
        </w:tc>
      </w:tr>
    </w:tbl>
    <w:p w14:paraId="336EEAA7" w14:textId="77777777" w:rsidR="002C6FEB" w:rsidRDefault="002C6FEB"/>
    <w:sectPr w:rsidR="002C6FEB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BAB8" w14:textId="77777777" w:rsidR="005544DC" w:rsidRDefault="005544DC" w:rsidP="007826B4">
      <w:r>
        <w:separator/>
      </w:r>
    </w:p>
  </w:endnote>
  <w:endnote w:type="continuationSeparator" w:id="0">
    <w:p w14:paraId="73288525" w14:textId="77777777" w:rsidR="005544DC" w:rsidRDefault="005544DC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B96E" w14:textId="77777777" w:rsidR="005544DC" w:rsidRDefault="005544DC" w:rsidP="007826B4">
      <w:r>
        <w:separator/>
      </w:r>
    </w:p>
  </w:footnote>
  <w:footnote w:type="continuationSeparator" w:id="0">
    <w:p w14:paraId="0DE8E02E" w14:textId="77777777" w:rsidR="005544DC" w:rsidRDefault="005544DC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2C6FEB"/>
    <w:rsid w:val="005544DC"/>
    <w:rsid w:val="007826B4"/>
    <w:rsid w:val="007B7232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2024-02-15T05:28:00Z</dcterms:created>
  <dcterms:modified xsi:type="dcterms:W3CDTF">2024-02-15T05:44:00Z</dcterms:modified>
</cp:coreProperties>
</file>